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業務マニュアル</w:t>
      </w:r>
    </w:p>
    <w:p>
      <w:pPr>
        <w:pStyle w:val="Heading1"/>
      </w:pPr>
      <w:r>
        <w:t>記入例：受付票の数量を確認する</w:t>
      </w:r>
    </w:p>
    <w:p>
      <w:r>
        <w:t>架空の業務／更新担当：受注担当／承認者：責任者／改訂日・次回確認日：記入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項目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内容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目的・開始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受付票が届いたら、数量を照合して回答状況を記録する。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準備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受付票・在庫表・担当連絡表の現行版を開く。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①確認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品番と数量を一行ずつ照合。差分を受付IDとともに記録。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②通常時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承認された範囲で回答し、回答時刻を残す。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③完了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結果と回答時刻を管理表で確認。未回答なら次の担当と期限を記入。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例外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数量不一致は出荷判断を止め、受付IDと差分を責任者へ連絡。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資料が開けない時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操作を止め管理担当へ依頼。別人の認証情報を使わない。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改訂履歴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日付・変更箇所・確認者を一行ずつ残す。</w:t>
            </w:r>
          </w:p>
        </w:tc>
      </w:tr>
    </w:tbl>
    <w:p>
      <w:r>
        <w:t>読み合わせで確かめること：正本を探せるか／完了を判断できるか／例外時に止める操作が分かるか。</w:t>
      </w:r>
    </w:p>
    <w:p>
      <w:r>
        <w:br w:type="page"/>
      </w:r>
    </w:p>
    <w:p>
      <w:pPr>
        <w:pStyle w:val="Heading1"/>
      </w:pPr>
      <w:r>
        <w:t>記入用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項目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記入欄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仕事名・目的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開始条件・準備物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手順①：確認→操作→結果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手順②：確認→操作→結果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手順③：確認→操作→結果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例外・止める操作・連絡先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完了の証拠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更新担当・承認者・改訂日・次回確認日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</w:tbl>
    <w:sectPr w:rsidR="00FC693F" w:rsidRPr="0006063C" w:rsidSect="00034616">
      <w:headerReference w:type="default" r:id="rId9"/>
      <w:pgSz w:w="11909" w:h="16834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t>PROBEFOLIO  /  仕事で使えるひな形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Yu Gothic" w:hAnsi="Yu Gothic" w:eastAsia="Yu Gothic"/>
      <w:b/>
      <w:bCs/>
      <w:color w:val="143C3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Yu Gothic" w:hAnsi="Yu Gothic" w:eastAsia="Yu Gothic"/>
      <w:b/>
      <w:bCs/>
      <w:color w:val="143C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Yu Gothic" w:hAnsi="Yu Gothic" w:eastAsia="Yu Gothic"/>
      <w:color w:val="143C3C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